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宁德职业技术学院4栋校舍结构安全性鉴定(抗震）项目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投标报价函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eastAsia="zh-CN"/>
        </w:rPr>
        <w:t>宁德职业技术学院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学生4栋校舍结构安全性鉴定(抗震）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项条款及要求后，我公司对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eastAsia="zh-CN"/>
        </w:rPr>
        <w:t>宁德职业技术学院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学生4栋校舍结构安全性鉴定(抗震）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eastAsia="zh-CN"/>
        </w:rPr>
        <w:t>宁德职业技术学院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学生4栋校舍结构安全性鉴定(抗震）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鉴定费单价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为：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eastAsia="仿宋_GB2312" w:cs="Times New Roman"/>
          <w:color w:val="000000"/>
          <w:sz w:val="32"/>
          <w:szCs w:val="32"/>
          <w:u w:val="none"/>
          <w:lang w:val="en-US" w:eastAsia="zh-CN"/>
        </w:rPr>
        <w:t>/平方米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（超出</w:t>
      </w:r>
      <w:r>
        <w:rPr>
          <w:rFonts w:hint="eastAsia" w:ascii="仿宋_GB2312" w:eastAsia="仿宋_GB2312" w:cs="Times New Roman"/>
          <w:color w:val="000000"/>
          <w:sz w:val="32"/>
          <w:szCs w:val="32"/>
          <w:u w:val="none"/>
          <w:lang w:val="en-US" w:eastAsia="zh-CN"/>
        </w:rPr>
        <w:t>15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元无效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hd w:val="clear" w:color="auto" w:fill="FFFFFF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color="auto" w:fill="FFFFFF"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color="auto" w:fill="FFFFFF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color="auto" w:fill="FFFFFF"/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color="auto" w:fill="FFFFFF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>
      <w:pPr>
        <w:numPr>
          <w:ilvl w:val="0"/>
          <w:numId w:val="0"/>
        </w:numPr>
        <w:shd w:val="clear" w:color="auto" w:fill="FFFFFF"/>
        <w:spacing w:line="560" w:lineRule="exact"/>
        <w:rPr>
          <w:rFonts w:hint="eastAsia" w:ascii="仿宋_GB2312" w:hAnsi="Times New Roman" w:eastAsia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Times New Roman" w:eastAsia="仿宋_GB2312" w:cs="Times New Roman"/>
          <w:b w:val="0"/>
          <w:color w:val="000000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